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C71" w:rsidRDefault="00316C71" w:rsidP="00316C71">
      <w:pPr>
        <w:jc w:val="center"/>
        <w:rPr>
          <w:sz w:val="24"/>
          <w:szCs w:val="24"/>
        </w:rPr>
      </w:pPr>
      <w:r>
        <w:rPr>
          <w:sz w:val="24"/>
          <w:szCs w:val="24"/>
        </w:rPr>
        <w:t>ПАСПОРТ</w:t>
      </w:r>
    </w:p>
    <w:p w:rsidR="00233803" w:rsidRDefault="00233803" w:rsidP="00233803">
      <w:pPr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b/>
          <w:sz w:val="24"/>
          <w:szCs w:val="24"/>
        </w:rPr>
        <w:t xml:space="preserve">Муниципальной целевой программы  </w:t>
      </w:r>
      <w:r w:rsidRPr="00AE32B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муниципального образования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Большеижорское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городское поселение муниципального образования Ломоносовский </w:t>
      </w:r>
      <w:r w:rsidRPr="00AE32B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муниципальный район Ленинградской области</w:t>
      </w:r>
      <w:r w:rsidR="00AA3D9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</w:p>
    <w:p w:rsidR="00316C71" w:rsidRDefault="00316C71" w:rsidP="00316C71">
      <w:pPr>
        <w:jc w:val="center"/>
        <w:rPr>
          <w:sz w:val="24"/>
          <w:szCs w:val="24"/>
        </w:rPr>
      </w:pPr>
      <w:r>
        <w:rPr>
          <w:sz w:val="24"/>
          <w:szCs w:val="24"/>
        </w:rPr>
        <w:t>ОТ 1</w:t>
      </w:r>
      <w:r w:rsidR="006E2F6E">
        <w:rPr>
          <w:sz w:val="24"/>
          <w:szCs w:val="24"/>
        </w:rPr>
        <w:t>3</w:t>
      </w:r>
      <w:r>
        <w:rPr>
          <w:sz w:val="24"/>
          <w:szCs w:val="24"/>
        </w:rPr>
        <w:t xml:space="preserve"> НОЯБРЯ 201</w:t>
      </w:r>
      <w:r w:rsidR="006E2F6E">
        <w:rPr>
          <w:sz w:val="24"/>
          <w:szCs w:val="24"/>
        </w:rPr>
        <w:t>4</w:t>
      </w:r>
      <w:r>
        <w:rPr>
          <w:sz w:val="24"/>
          <w:szCs w:val="24"/>
        </w:rPr>
        <w:t xml:space="preserve"> Г. N </w:t>
      </w:r>
      <w:r w:rsidR="006E2F6E">
        <w:rPr>
          <w:sz w:val="24"/>
          <w:szCs w:val="24"/>
        </w:rPr>
        <w:t>_____</w:t>
      </w:r>
    </w:p>
    <w:p w:rsidR="00316C71" w:rsidRPr="00A56CAB" w:rsidRDefault="00316C71" w:rsidP="00316C71">
      <w:pPr>
        <w:jc w:val="center"/>
        <w:rPr>
          <w:b/>
          <w:sz w:val="24"/>
          <w:szCs w:val="24"/>
        </w:rPr>
      </w:pPr>
      <w:r w:rsidRPr="00A56CAB">
        <w:rPr>
          <w:b/>
          <w:sz w:val="24"/>
          <w:szCs w:val="24"/>
        </w:rPr>
        <w:t>"</w:t>
      </w:r>
      <w:r w:rsidR="00AA3D9B" w:rsidRPr="00A56CAB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A3D9B" w:rsidRPr="00A56CAB">
        <w:rPr>
          <w:rFonts w:ascii="Arial" w:hAnsi="Arial" w:cs="Arial"/>
          <w:b/>
          <w:color w:val="000000"/>
          <w:sz w:val="24"/>
          <w:szCs w:val="24"/>
        </w:rPr>
        <w:t xml:space="preserve">Развитие молодежной политики, культуры, физической культуры, спорта в </w:t>
      </w:r>
      <w:proofErr w:type="spellStart"/>
      <w:r w:rsidR="00AA3D9B" w:rsidRPr="00A56CAB">
        <w:rPr>
          <w:rFonts w:ascii="Arial" w:hAnsi="Arial" w:cs="Arial"/>
          <w:b/>
          <w:color w:val="000000"/>
          <w:sz w:val="24"/>
          <w:szCs w:val="24"/>
        </w:rPr>
        <w:t>Большеижорском</w:t>
      </w:r>
      <w:proofErr w:type="spellEnd"/>
      <w:r w:rsidR="00AA3D9B" w:rsidRPr="00A56CAB">
        <w:rPr>
          <w:rFonts w:ascii="Arial" w:hAnsi="Arial" w:cs="Arial"/>
          <w:b/>
          <w:color w:val="000000"/>
          <w:sz w:val="24"/>
          <w:szCs w:val="24"/>
        </w:rPr>
        <w:t xml:space="preserve"> городском поселении в 2015 году</w:t>
      </w:r>
      <w:r w:rsidR="00AA3D9B" w:rsidRPr="00A56CAB">
        <w:rPr>
          <w:b/>
          <w:sz w:val="24"/>
          <w:szCs w:val="24"/>
        </w:rPr>
        <w:t xml:space="preserve"> </w:t>
      </w:r>
      <w:r w:rsidRPr="00A56CAB">
        <w:rPr>
          <w:b/>
          <w:sz w:val="24"/>
          <w:szCs w:val="24"/>
        </w:rPr>
        <w:t>"</w:t>
      </w:r>
    </w:p>
    <w:p w:rsidR="00316C71" w:rsidRDefault="00316C71" w:rsidP="00316C71">
      <w:pPr>
        <w:rPr>
          <w:sz w:val="24"/>
          <w:szCs w:val="24"/>
        </w:rPr>
      </w:pPr>
    </w:p>
    <w:tbl>
      <w:tblPr>
        <w:tblW w:w="0" w:type="auto"/>
        <w:tblInd w:w="10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750"/>
        <w:gridCol w:w="6667"/>
      </w:tblGrid>
      <w:tr w:rsidR="00784115" w:rsidTr="00316C7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C71" w:rsidRDefault="00316C7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  <w:p w:rsidR="007855CB" w:rsidRDefault="007855C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70C3" w:rsidRDefault="002570C3" w:rsidP="002570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085A">
              <w:rPr>
                <w:rFonts w:ascii="Arial" w:hAnsi="Arial" w:cs="Arial"/>
                <w:color w:val="000000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="009E6CC7" w:rsidRPr="000C085A">
              <w:rPr>
                <w:rFonts w:ascii="Arial" w:hAnsi="Arial" w:cs="Arial"/>
                <w:color w:val="000000"/>
                <w:sz w:val="24"/>
                <w:szCs w:val="24"/>
              </w:rPr>
              <w:t>Большеижорское</w:t>
            </w:r>
            <w:proofErr w:type="spellEnd"/>
            <w:r w:rsidR="009E6CC7" w:rsidRPr="000C085A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городское поселение  муниципального образования </w:t>
            </w:r>
            <w:r w:rsidRPr="000C085A">
              <w:rPr>
                <w:rFonts w:ascii="Arial" w:hAnsi="Arial" w:cs="Arial"/>
                <w:color w:val="000000"/>
                <w:sz w:val="24"/>
                <w:szCs w:val="24"/>
              </w:rPr>
              <w:t xml:space="preserve">Ломоносовский муниципальный район Ленинградской области "Развитие молодежной политики, культуры, физической культуры, спорта в </w:t>
            </w:r>
            <w:proofErr w:type="spellStart"/>
            <w:r w:rsidR="009E6CC7" w:rsidRPr="000C085A">
              <w:rPr>
                <w:rFonts w:ascii="Arial" w:hAnsi="Arial" w:cs="Arial"/>
                <w:color w:val="000000"/>
                <w:sz w:val="24"/>
                <w:szCs w:val="24"/>
              </w:rPr>
              <w:t>Большеижорском</w:t>
            </w:r>
            <w:proofErr w:type="spellEnd"/>
            <w:r w:rsidR="009E6CC7" w:rsidRPr="000C085A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городском поселении в 2015 году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  <w:p w:rsidR="00316C71" w:rsidRDefault="00316C7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84115" w:rsidTr="00316C7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C71" w:rsidRDefault="00316C71" w:rsidP="008F130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 </w:t>
            </w:r>
            <w:r w:rsidR="008F1304">
              <w:rPr>
                <w:sz w:val="24"/>
                <w:szCs w:val="24"/>
              </w:rPr>
              <w:t>муниципаль</w:t>
            </w:r>
            <w:r>
              <w:rPr>
                <w:sz w:val="24"/>
                <w:szCs w:val="24"/>
              </w:rPr>
              <w:t>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C71" w:rsidRDefault="00AC69C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«Большая Ижора»</w:t>
            </w:r>
          </w:p>
        </w:tc>
      </w:tr>
      <w:tr w:rsidR="00784115" w:rsidTr="00316C7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C71" w:rsidRDefault="00316C7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 государственной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C71" w:rsidRDefault="00316C7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784115" w:rsidTr="00316C71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C71" w:rsidRDefault="00316C71" w:rsidP="00AC69C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Участники </w:t>
            </w:r>
            <w:r w:rsidR="00AC69CE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C71" w:rsidRDefault="00AC69C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Местная администрация МО </w:t>
            </w:r>
            <w:proofErr w:type="spellStart"/>
            <w:r>
              <w:rPr>
                <w:sz w:val="24"/>
                <w:szCs w:val="24"/>
              </w:rPr>
              <w:t>Большеижорское</w:t>
            </w:r>
            <w:proofErr w:type="spellEnd"/>
            <w:r>
              <w:rPr>
                <w:sz w:val="24"/>
                <w:szCs w:val="24"/>
              </w:rPr>
              <w:t xml:space="preserve"> городское поселение</w:t>
            </w:r>
            <w:r w:rsidR="00316C71">
              <w:rPr>
                <w:sz w:val="24"/>
                <w:szCs w:val="24"/>
              </w:rPr>
              <w:t>;</w:t>
            </w:r>
          </w:p>
        </w:tc>
      </w:tr>
      <w:tr w:rsidR="00784115" w:rsidTr="00316C7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71" w:rsidRDefault="00316C7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C71" w:rsidRDefault="00AC69CE" w:rsidP="00AC69C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 Большая Ижора</w:t>
            </w:r>
            <w:r w:rsidR="00316C71">
              <w:rPr>
                <w:sz w:val="24"/>
                <w:szCs w:val="24"/>
              </w:rPr>
              <w:t>;</w:t>
            </w:r>
          </w:p>
        </w:tc>
      </w:tr>
      <w:tr w:rsidR="00784115" w:rsidTr="00316C7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71" w:rsidRDefault="00316C7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C71" w:rsidRDefault="00316C7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84115" w:rsidTr="00316C71">
        <w:trPr>
          <w:trHeight w:val="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C71" w:rsidRDefault="00316C71" w:rsidP="0078411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</w:t>
            </w:r>
            <w:r w:rsidR="0078411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  <w:r w:rsidR="00784115">
              <w:rPr>
                <w:sz w:val="24"/>
                <w:szCs w:val="24"/>
              </w:rPr>
              <w:t>муниципаль</w:t>
            </w:r>
            <w:r>
              <w:rPr>
                <w:sz w:val="24"/>
                <w:szCs w:val="24"/>
              </w:rPr>
              <w:t>ной программы</w:t>
            </w:r>
            <w:r w:rsidR="007855CB">
              <w:rPr>
                <w:sz w:val="24"/>
                <w:szCs w:val="24"/>
              </w:rPr>
              <w:t xml:space="preserve"> </w:t>
            </w:r>
            <w:r w:rsidR="00FC5DB8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52757" w:rsidRDefault="00852757" w:rsidP="00852757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Подпрограмма "Создание условий для организации досуга и обеспечение жи</w:t>
            </w:r>
            <w:r w:rsidR="0078411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т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е</w:t>
            </w:r>
            <w:r w:rsidR="0078411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л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ей </w:t>
            </w:r>
            <w:proofErr w:type="spellStart"/>
            <w:r w:rsidR="0078411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Большеижорского</w:t>
            </w:r>
            <w:proofErr w:type="spellEnd"/>
            <w:r w:rsidR="0078411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городского поселения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услугами организаций культуры  на 2015 год"  муниципальной программы муниципального образования </w:t>
            </w:r>
            <w:proofErr w:type="spellStart"/>
            <w:r w:rsidR="0078411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Большеижорского</w:t>
            </w:r>
            <w:proofErr w:type="spellEnd"/>
            <w:r w:rsidR="0078411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городского поселения  муниципального образования 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Ломоносовский муниципальный район Ленинградской области "Развитие молодежной политики, культуры, физической культуры, спорта в</w:t>
            </w:r>
            <w:r w:rsidR="0078411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8411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Большеижорском</w:t>
            </w:r>
            <w:proofErr w:type="spellEnd"/>
            <w:r w:rsidR="00784115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городском поселении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"</w:t>
            </w:r>
          </w:p>
          <w:p w:rsidR="00316C71" w:rsidRDefault="00316C7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84115" w:rsidTr="00DD4454">
        <w:trPr>
          <w:trHeight w:val="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71" w:rsidRDefault="00316C7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6C71" w:rsidRDefault="00316C7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84115" w:rsidTr="00DD4454">
        <w:trPr>
          <w:trHeight w:val="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71" w:rsidRDefault="00316C7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6C71" w:rsidRDefault="00316C7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84115" w:rsidTr="00DD4454">
        <w:trPr>
          <w:trHeight w:val="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71" w:rsidRDefault="00316C7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6C71" w:rsidRDefault="00316C7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84115" w:rsidTr="00DD4454">
        <w:trPr>
          <w:trHeight w:val="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71" w:rsidRDefault="00316C7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6C71" w:rsidRDefault="00316C7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84115" w:rsidTr="00316C7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C71" w:rsidRDefault="00316C7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Программно-целевые инструменты государственной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C71" w:rsidRDefault="00316C7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предусмотрены</w:t>
            </w:r>
          </w:p>
        </w:tc>
      </w:tr>
      <w:tr w:rsidR="00784115" w:rsidTr="00316C7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C71" w:rsidRDefault="00316C7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Цели государственной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C71" w:rsidRDefault="00316C7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реализации стратегической роли культуры как духовно-нравственного основания развития личности, ресурса роста человеческого потенциала региона, фактора обеспечения социальной стабильности и консолидации общества</w:t>
            </w:r>
          </w:p>
        </w:tc>
      </w:tr>
      <w:tr w:rsidR="00784115" w:rsidTr="00316C71">
        <w:trPr>
          <w:trHeight w:val="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C71" w:rsidRDefault="00316C7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государственной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C71" w:rsidRDefault="00316C7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Сохранение культурного и исторического наследия, обеспечение доступа граждан к культурным ценностям и участию в культурной жизни, реализация творческого потенциала населения региона;</w:t>
            </w:r>
          </w:p>
        </w:tc>
      </w:tr>
      <w:tr w:rsidR="00784115" w:rsidTr="00316C71">
        <w:trPr>
          <w:trHeight w:val="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71" w:rsidRDefault="00316C7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C71" w:rsidRDefault="00316C7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благоприятных условий для устойчивого развития сферы культуры</w:t>
            </w:r>
          </w:p>
        </w:tc>
      </w:tr>
      <w:tr w:rsidR="00784115" w:rsidTr="00316C71">
        <w:trPr>
          <w:trHeight w:val="4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C71" w:rsidRDefault="00316C7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и показатели государственной программы</w:t>
            </w:r>
            <w:r w:rsidR="00FC5DB8">
              <w:rPr>
                <w:sz w:val="24"/>
                <w:szCs w:val="24"/>
              </w:rPr>
              <w:t xml:space="preserve"> 0210024</w:t>
            </w:r>
          </w:p>
          <w:p w:rsidR="00FC5DB8" w:rsidRDefault="00FC5DB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C71" w:rsidRDefault="00316C71" w:rsidP="00DD445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="00DD4454">
              <w:rPr>
                <w:sz w:val="24"/>
                <w:szCs w:val="24"/>
              </w:rPr>
              <w:t>величение количества посещений  культурно-массовых мероп</w:t>
            </w:r>
            <w:r>
              <w:rPr>
                <w:sz w:val="24"/>
                <w:szCs w:val="24"/>
              </w:rPr>
              <w:t>риятий</w:t>
            </w:r>
            <w:proofErr w:type="gramStart"/>
            <w:r>
              <w:rPr>
                <w:sz w:val="24"/>
                <w:szCs w:val="24"/>
              </w:rPr>
              <w:t>, %;</w:t>
            </w:r>
            <w:proofErr w:type="gramEnd"/>
          </w:p>
          <w:p w:rsidR="00EE1B1C" w:rsidRDefault="00EE1B1C" w:rsidP="00365E5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65E53">
              <w:rPr>
                <w:sz w:val="24"/>
                <w:szCs w:val="24"/>
              </w:rPr>
              <w:t xml:space="preserve">наличие </w:t>
            </w:r>
            <w:r>
              <w:rPr>
                <w:sz w:val="24"/>
                <w:szCs w:val="24"/>
              </w:rPr>
              <w:t>дол</w:t>
            </w:r>
            <w:r w:rsidR="00365E5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общедоступн</w:t>
            </w:r>
            <w:r w:rsidR="00365E53">
              <w:rPr>
                <w:sz w:val="24"/>
                <w:szCs w:val="24"/>
              </w:rPr>
              <w:t>ой</w:t>
            </w:r>
            <w:r>
              <w:rPr>
                <w:sz w:val="24"/>
                <w:szCs w:val="24"/>
              </w:rPr>
              <w:t xml:space="preserve"> библиотек</w:t>
            </w:r>
            <w:r w:rsidR="00365E5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, подключенн</w:t>
            </w:r>
            <w:r w:rsidR="00365E53">
              <w:rPr>
                <w:sz w:val="24"/>
                <w:szCs w:val="24"/>
              </w:rPr>
              <w:t xml:space="preserve">ой </w:t>
            </w:r>
            <w:r>
              <w:rPr>
                <w:sz w:val="24"/>
                <w:szCs w:val="24"/>
              </w:rPr>
              <w:t xml:space="preserve"> к сети "Интернет", в общем количестве библиотек Ленинградской области</w:t>
            </w:r>
            <w:proofErr w:type="gramStart"/>
            <w:r>
              <w:rPr>
                <w:sz w:val="24"/>
                <w:szCs w:val="24"/>
              </w:rPr>
              <w:t>, %;</w:t>
            </w:r>
            <w:r w:rsidR="00632D50">
              <w:rPr>
                <w:sz w:val="24"/>
                <w:szCs w:val="24"/>
              </w:rPr>
              <w:t xml:space="preserve"> </w:t>
            </w:r>
            <w:proofErr w:type="gramEnd"/>
          </w:p>
          <w:p w:rsidR="00632D50" w:rsidRDefault="00632D50" w:rsidP="00365E5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удовлетворенность населения качеством услуг, оказываемых учреждениями культуры и искусства;</w:t>
            </w:r>
          </w:p>
        </w:tc>
      </w:tr>
      <w:tr w:rsidR="00784115" w:rsidTr="00316C71">
        <w:trPr>
          <w:trHeight w:val="6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C71" w:rsidRDefault="00316C7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C71" w:rsidRDefault="00316C7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доля объектов культурного наследия, находящихся в удовлетворительном состоянии, в общем количестве объектов культурного наследия регионального значения</w:t>
            </w:r>
            <w:proofErr w:type="gramStart"/>
            <w:r>
              <w:rPr>
                <w:sz w:val="24"/>
                <w:szCs w:val="24"/>
              </w:rPr>
              <w:t>, %;</w:t>
            </w:r>
            <w:proofErr w:type="gramEnd"/>
          </w:p>
        </w:tc>
      </w:tr>
      <w:tr w:rsidR="000A3D21" w:rsidTr="00316C7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A3D21" w:rsidRDefault="000A3D21" w:rsidP="009626C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культурно-досуговое учреждение, имеющих сайт в сети "Интернет", в общем количестве культурно-досуговых учреждений Ленинградской области</w:t>
            </w:r>
            <w:proofErr w:type="gramStart"/>
            <w:r>
              <w:rPr>
                <w:sz w:val="24"/>
                <w:szCs w:val="24"/>
              </w:rPr>
              <w:t>, %;</w:t>
            </w:r>
            <w:proofErr w:type="gramEnd"/>
          </w:p>
        </w:tc>
      </w:tr>
      <w:tr w:rsidR="000A3D21" w:rsidTr="000A3D21">
        <w:trPr>
          <w:trHeight w:val="5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 w:rsidP="000A3D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соотношение средней заработной платы работников учреждений культуры Ленинградской области к средней заработной плате по Ленинградской области, %</w:t>
            </w:r>
          </w:p>
        </w:tc>
      </w:tr>
      <w:tr w:rsidR="000A3D21" w:rsidTr="000A3D21">
        <w:trPr>
          <w:trHeight w:val="8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257ABE" w:rsidTr="009626C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7ABE" w:rsidRDefault="00257ABE" w:rsidP="00DA1FF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Этапы и сроки реализации </w:t>
            </w:r>
            <w:r w:rsidR="00DA1FFD">
              <w:rPr>
                <w:sz w:val="24"/>
                <w:szCs w:val="24"/>
              </w:rPr>
              <w:t>муниципаль</w:t>
            </w:r>
            <w:r>
              <w:rPr>
                <w:sz w:val="24"/>
                <w:szCs w:val="24"/>
              </w:rPr>
              <w:t>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57ABE" w:rsidRDefault="00257ABE" w:rsidP="00DA1FF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 этап, 201</w:t>
            </w:r>
            <w:r w:rsidR="00DA1FF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493DD4" w:rsidTr="009626C4">
        <w:trPr>
          <w:trHeight w:val="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93DD4" w:rsidRDefault="00493DD4" w:rsidP="009626C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бюджетных ассигнований государственной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93DD4" w:rsidRDefault="00493DD4" w:rsidP="00B839A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объем ресурсного обеспечения реализации </w:t>
            </w:r>
            <w:r w:rsidR="00B839AD">
              <w:rPr>
                <w:sz w:val="24"/>
                <w:szCs w:val="24"/>
              </w:rPr>
              <w:t>муниципаль</w:t>
            </w:r>
            <w:r>
              <w:rPr>
                <w:sz w:val="24"/>
                <w:szCs w:val="24"/>
              </w:rPr>
              <w:t>ной программы составляет 4</w:t>
            </w:r>
            <w:r w:rsidR="00B839AD">
              <w:rPr>
                <w:sz w:val="24"/>
                <w:szCs w:val="24"/>
              </w:rPr>
              <w:t>500,0</w:t>
            </w:r>
            <w:r>
              <w:rPr>
                <w:sz w:val="24"/>
                <w:szCs w:val="24"/>
              </w:rPr>
              <w:t xml:space="preserve"> тыс. рублей, в том числе:</w:t>
            </w:r>
          </w:p>
        </w:tc>
      </w:tr>
      <w:tr w:rsidR="00493DD4" w:rsidTr="009626C4">
        <w:trPr>
          <w:trHeight w:val="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3DD4" w:rsidRDefault="00493DD4" w:rsidP="009626C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39AD" w:rsidRPr="003A6BEA" w:rsidRDefault="00493DD4" w:rsidP="00B839AD">
            <w:pP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hyperlink r:id="rId5" w:history="1">
              <w:r>
                <w:rPr>
                  <w:rStyle w:val="a3"/>
                  <w:color w:val="auto"/>
                  <w:sz w:val="24"/>
                  <w:szCs w:val="24"/>
                  <w:u w:val="none"/>
                </w:rPr>
                <w:t>подпрограмма</w:t>
              </w:r>
            </w:hyperlink>
            <w:r>
              <w:rPr>
                <w:sz w:val="24"/>
                <w:szCs w:val="24"/>
              </w:rPr>
              <w:t xml:space="preserve"> "</w:t>
            </w:r>
            <w:r w:rsidR="00B839A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B839AD" w:rsidRPr="003A6BEA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 xml:space="preserve">Развитие молодежной политики, культуры, физической культуры, спорта в </w:t>
            </w:r>
            <w:proofErr w:type="spellStart"/>
            <w:r w:rsidR="00B839AD" w:rsidRPr="003A6BEA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Большеижорском</w:t>
            </w:r>
            <w:proofErr w:type="spellEnd"/>
            <w:r w:rsidR="00B839AD" w:rsidRPr="003A6BEA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 xml:space="preserve"> городском поселении"</w:t>
            </w:r>
            <w:r w:rsidR="00B839AD" w:rsidRPr="003A6BEA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 xml:space="preserve"> 4500,0тыс</w:t>
            </w:r>
            <w:proofErr w:type="gramStart"/>
            <w:r w:rsidR="00B839AD" w:rsidRPr="003A6BEA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.р</w:t>
            </w:r>
            <w:proofErr w:type="gramEnd"/>
            <w:r w:rsidR="00B839AD" w:rsidRPr="003A6BEA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уб.</w:t>
            </w:r>
          </w:p>
          <w:p w:rsidR="00493DD4" w:rsidRDefault="00493DD4" w:rsidP="009626C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2B053A" w:rsidTr="002B053A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B053A" w:rsidRDefault="002B053A" w:rsidP="009626C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Ожидаемые результаты реализации государственной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0E5A" w:rsidRDefault="002B053A" w:rsidP="006640B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D00E5A">
              <w:rPr>
                <w:sz w:val="24"/>
                <w:szCs w:val="24"/>
              </w:rPr>
              <w:t xml:space="preserve">Укрепление единого культурного пространства Ломоносовского муниципального района </w:t>
            </w:r>
            <w:proofErr w:type="gramStart"/>
            <w:r w:rsidR="00D00E5A">
              <w:rPr>
                <w:sz w:val="24"/>
                <w:szCs w:val="24"/>
              </w:rPr>
              <w:t>согласно увеличения</w:t>
            </w:r>
            <w:proofErr w:type="gramEnd"/>
            <w:r w:rsidR="00D00E5A">
              <w:rPr>
                <w:sz w:val="24"/>
                <w:szCs w:val="24"/>
              </w:rPr>
              <w:t xml:space="preserve"> уровня удовлетворенности населения качеством услуг, оказываемых учреждением культуры МО </w:t>
            </w:r>
            <w:proofErr w:type="spellStart"/>
            <w:r w:rsidR="00D00E5A">
              <w:rPr>
                <w:sz w:val="24"/>
                <w:szCs w:val="24"/>
              </w:rPr>
              <w:t>Большеижорского</w:t>
            </w:r>
            <w:proofErr w:type="spellEnd"/>
            <w:r w:rsidR="00D00E5A">
              <w:rPr>
                <w:sz w:val="24"/>
                <w:szCs w:val="24"/>
              </w:rPr>
              <w:t xml:space="preserve"> городского поселения;</w:t>
            </w:r>
          </w:p>
          <w:p w:rsidR="00B620A8" w:rsidRDefault="006640B7" w:rsidP="00D00E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D00E5A">
              <w:rPr>
                <w:sz w:val="24"/>
                <w:szCs w:val="24"/>
              </w:rPr>
              <w:t xml:space="preserve"> </w:t>
            </w:r>
            <w:r w:rsidR="002B053A">
              <w:rPr>
                <w:sz w:val="24"/>
                <w:szCs w:val="24"/>
              </w:rPr>
              <w:t xml:space="preserve"> создание условий для доступности участия всего населения в культурной жизни, создание благоприятных условий для улучшения культурно-досугового обслуживания населения, развития самодеятельного художественного творчества,</w:t>
            </w:r>
          </w:p>
          <w:p w:rsidR="002B053A" w:rsidRDefault="00B620A8" w:rsidP="00D00E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2B053A">
              <w:rPr>
                <w:sz w:val="24"/>
                <w:szCs w:val="24"/>
              </w:rPr>
              <w:t>создание условий для творческой самореализации граждан, культурно-просветительской деятельности, организации внешкольного художественного образования и культурного досуга, индикатор: доля детей, привлекаемых к участию в творческих мероприятиях, к 201</w:t>
            </w:r>
            <w:r w:rsidR="0000645B">
              <w:rPr>
                <w:sz w:val="24"/>
                <w:szCs w:val="24"/>
              </w:rPr>
              <w:t>5</w:t>
            </w:r>
            <w:r w:rsidR="002B053A">
              <w:rPr>
                <w:sz w:val="24"/>
                <w:szCs w:val="24"/>
              </w:rPr>
              <w:t xml:space="preserve"> году составит 6% в общем числе детей </w:t>
            </w:r>
            <w:r w:rsidR="0000645B">
              <w:rPr>
                <w:sz w:val="24"/>
                <w:szCs w:val="24"/>
              </w:rPr>
              <w:t xml:space="preserve"> </w:t>
            </w:r>
            <w:proofErr w:type="spellStart"/>
            <w:r w:rsidR="0000645B">
              <w:rPr>
                <w:sz w:val="24"/>
                <w:szCs w:val="24"/>
              </w:rPr>
              <w:t>Большеижорского</w:t>
            </w:r>
            <w:proofErr w:type="spellEnd"/>
            <w:r w:rsidR="0000645B">
              <w:rPr>
                <w:sz w:val="24"/>
                <w:szCs w:val="24"/>
              </w:rPr>
              <w:t xml:space="preserve"> г/</w:t>
            </w:r>
            <w:proofErr w:type="gramStart"/>
            <w:r w:rsidR="0000645B">
              <w:rPr>
                <w:sz w:val="24"/>
                <w:szCs w:val="24"/>
              </w:rPr>
              <w:t>п</w:t>
            </w:r>
            <w:proofErr w:type="gramEnd"/>
            <w:r w:rsidR="00D00E5A">
              <w:rPr>
                <w:sz w:val="24"/>
                <w:szCs w:val="24"/>
              </w:rPr>
              <w:t>;</w:t>
            </w:r>
          </w:p>
        </w:tc>
      </w:tr>
      <w:tr w:rsidR="000A3D21" w:rsidTr="000A3D21">
        <w:trPr>
          <w:trHeight w:val="34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82457E" w:rsidP="00D00E5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повышение удовлетворенности населения качеством услуг, оказываемых учреждениями культуры</w:t>
            </w:r>
            <w:proofErr w:type="gramStart"/>
            <w:r>
              <w:rPr>
                <w:sz w:val="24"/>
                <w:szCs w:val="24"/>
              </w:rPr>
              <w:t xml:space="preserve"> ;</w:t>
            </w:r>
            <w:proofErr w:type="gramEnd"/>
          </w:p>
        </w:tc>
      </w:tr>
      <w:tr w:rsidR="000A3D21" w:rsidTr="000A3D21">
        <w:trPr>
          <w:trHeight w:val="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302DD4" w:rsidP="00D00E5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укрепление социального статуса работников культуры, соотношение заработной платы работников учреждений культуры </w:t>
            </w:r>
            <w:proofErr w:type="spellStart"/>
            <w:r w:rsidR="00D00E5A">
              <w:rPr>
                <w:sz w:val="24"/>
                <w:szCs w:val="24"/>
              </w:rPr>
              <w:t>Большеижорское</w:t>
            </w:r>
            <w:proofErr w:type="spellEnd"/>
            <w:r w:rsidR="00D00E5A">
              <w:rPr>
                <w:sz w:val="24"/>
                <w:szCs w:val="24"/>
              </w:rPr>
              <w:t xml:space="preserve"> г/</w:t>
            </w:r>
            <w:proofErr w:type="gramStart"/>
            <w:r w:rsidR="00D00E5A">
              <w:rPr>
                <w:sz w:val="24"/>
                <w:szCs w:val="24"/>
              </w:rPr>
              <w:t>п</w:t>
            </w:r>
            <w:proofErr w:type="gramEnd"/>
            <w:r w:rsidR="00D00E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по отношению к средней заработной плате по</w:t>
            </w:r>
            <w:r w:rsidR="00D00E5A">
              <w:rPr>
                <w:sz w:val="24"/>
                <w:szCs w:val="24"/>
              </w:rPr>
              <w:t xml:space="preserve"> Ломоносовскому муниципальному району </w:t>
            </w:r>
            <w:r>
              <w:rPr>
                <w:sz w:val="24"/>
                <w:szCs w:val="24"/>
              </w:rPr>
              <w:t xml:space="preserve"> Ленинградской области к концу 201</w:t>
            </w:r>
            <w:r w:rsidR="00D00E5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</w:t>
            </w:r>
            <w:r w:rsidR="00D00E5A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будет составлять </w:t>
            </w:r>
            <w:r w:rsidR="00D00E5A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%</w:t>
            </w:r>
            <w:r w:rsidR="00D00E5A">
              <w:rPr>
                <w:sz w:val="24"/>
                <w:szCs w:val="24"/>
              </w:rPr>
              <w:t>;</w:t>
            </w:r>
          </w:p>
        </w:tc>
      </w:tr>
      <w:tr w:rsidR="000A3D21" w:rsidTr="000A3D21">
        <w:trPr>
          <w:trHeight w:val="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D83E91" w:rsidP="00460EC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формирование культурной среды, отвечающей растущим потребностям личности и общества, повышение качества, разнообразия и эффективности услуг в сферах культуры путем увеличения количества посещений </w:t>
            </w:r>
            <w:r w:rsidR="00460ECA">
              <w:rPr>
                <w:sz w:val="24"/>
                <w:szCs w:val="24"/>
              </w:rPr>
              <w:t xml:space="preserve">массовых и </w:t>
            </w:r>
            <w:r>
              <w:rPr>
                <w:sz w:val="24"/>
                <w:szCs w:val="24"/>
              </w:rPr>
              <w:t>концертных мероприятий к концу 201</w:t>
            </w:r>
            <w:r w:rsidR="00460EC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года на 2</w:t>
            </w:r>
            <w:r w:rsidR="00460ECA">
              <w:rPr>
                <w:sz w:val="24"/>
                <w:szCs w:val="24"/>
              </w:rPr>
              <w:t>%.</w:t>
            </w:r>
            <w:bookmarkStart w:id="0" w:name="_GoBack"/>
            <w:bookmarkEnd w:id="0"/>
          </w:p>
        </w:tc>
      </w:tr>
      <w:tr w:rsidR="000A3D21" w:rsidTr="000A3D21">
        <w:trPr>
          <w:trHeight w:val="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E02656">
        <w:trPr>
          <w:trHeight w:val="22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E02656">
        <w:trPr>
          <w:trHeight w:val="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257ABE">
        <w:trPr>
          <w:trHeight w:val="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257ABE">
        <w:trPr>
          <w:trHeight w:val="2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257ABE">
        <w:trPr>
          <w:trHeight w:val="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257ABE">
        <w:trPr>
          <w:trHeight w:val="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C86A4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2B053A">
        <w:trPr>
          <w:trHeight w:val="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2B053A">
        <w:trPr>
          <w:trHeight w:val="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2B053A">
        <w:trPr>
          <w:trHeight w:val="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2B053A">
        <w:trPr>
          <w:trHeight w:val="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2B053A">
        <w:trPr>
          <w:trHeight w:val="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2B053A">
        <w:trPr>
          <w:trHeight w:val="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2B053A">
        <w:trPr>
          <w:trHeight w:val="2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2B053A">
        <w:trPr>
          <w:trHeight w:val="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2B053A">
        <w:trPr>
          <w:trHeight w:val="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2B053A">
        <w:trPr>
          <w:trHeight w:val="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2B053A">
        <w:trPr>
          <w:trHeight w:val="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2B053A">
        <w:trPr>
          <w:trHeight w:val="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2B053A">
        <w:trPr>
          <w:trHeight w:val="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2B053A">
        <w:trPr>
          <w:trHeight w:val="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2B053A">
        <w:trPr>
          <w:trHeight w:val="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2B053A">
        <w:trPr>
          <w:trHeight w:val="31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B620A8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B620A8">
        <w:trPr>
          <w:trHeight w:val="20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B620A8">
        <w:trPr>
          <w:trHeight w:val="2486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B620A8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B620A8">
        <w:trPr>
          <w:trHeight w:val="42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B620A8">
        <w:trPr>
          <w:trHeight w:val="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A3D21" w:rsidTr="00316C71">
        <w:trPr>
          <w:trHeight w:val="13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D21" w:rsidRDefault="000A3D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формирование культурной среды, отвечающей растущим потребностям личности и общества, повышение качества, разнообразия и эффективности услуг в сферах культуры путем увеличения количества посещений театрально-концертных мероприятий к концу 2016 года на 2%, увеличение количества посещений музеев по сравнению с предыдущим годом на 0,1% ежегодно;</w:t>
            </w:r>
          </w:p>
        </w:tc>
      </w:tr>
      <w:tr w:rsidR="000A3D21" w:rsidTr="00316C71">
        <w:trPr>
          <w:trHeight w:val="33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- формирование имиджа отрасли как наиболее привлекательной сферы деятельности, в том числе через широкое внедрение информационных технологий, увеличение количества библиографических записей в сводном электронном каталоге библиотек Ленинградской области, в том числе включенных в сводный электронный каталог библиотек России (по сравнению с предыдущим годом), на 10 тыс. ед. ежегодно, создание 4 виртуальных музеев, увеличение доли общедоступных библиотек, подключенных к сети "Интернет", 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общем количестве библиотек Ленинградской области до 89% в 2016 году, увеличение доли музеев, имеющих сайт в сети "Интернет", в общем количестве музеев Ленинградской области до 70% в 2016 году, увеличение доли театров, имеющих сайт в сети "Интернет", в общем количестве театров Ленинградской области до 70% в 2016 году и увеличение доли культурно-досуговых учреждений, имеющих сайт в сети "Интернет", в общем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количестве</w:t>
            </w:r>
            <w:proofErr w:type="gramEnd"/>
            <w:r>
              <w:rPr>
                <w:sz w:val="24"/>
                <w:szCs w:val="24"/>
              </w:rPr>
              <w:t xml:space="preserve"> культурно-досуговых учреждений Ленинградской области до 40% в 2016 году;</w:t>
            </w:r>
          </w:p>
        </w:tc>
      </w:tr>
      <w:tr w:rsidR="000A3D21" w:rsidTr="00316C71">
        <w:trPr>
          <w:trHeight w:val="10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A3D21" w:rsidRDefault="000A3D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укрепление социального статуса работников культуры, соотношение заработной платы работников учреждений культуры Ленинградской области по отношению к средней заработной плате по Ленинградской области к концу 2016 году будет составлять 90%, размер повышения заработной платы работникам муниципальных учреждений культуры в 2016 году составит 80% по отношению к 2013 году</w:t>
            </w:r>
          </w:p>
        </w:tc>
      </w:tr>
    </w:tbl>
    <w:p w:rsidR="00072D8C" w:rsidRDefault="00072D8C"/>
    <w:sectPr w:rsidR="00072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48C"/>
    <w:rsid w:val="0000645B"/>
    <w:rsid w:val="00072D8C"/>
    <w:rsid w:val="000A3D21"/>
    <w:rsid w:val="000C085A"/>
    <w:rsid w:val="001A5B9C"/>
    <w:rsid w:val="00233803"/>
    <w:rsid w:val="002570C3"/>
    <w:rsid w:val="00257ABE"/>
    <w:rsid w:val="002B053A"/>
    <w:rsid w:val="00302DD4"/>
    <w:rsid w:val="00316C71"/>
    <w:rsid w:val="00365E53"/>
    <w:rsid w:val="003A6BEA"/>
    <w:rsid w:val="00460ECA"/>
    <w:rsid w:val="00493DD4"/>
    <w:rsid w:val="00527F9B"/>
    <w:rsid w:val="00632D50"/>
    <w:rsid w:val="006640B7"/>
    <w:rsid w:val="00675830"/>
    <w:rsid w:val="006E2F6E"/>
    <w:rsid w:val="0074012D"/>
    <w:rsid w:val="00784115"/>
    <w:rsid w:val="007855CB"/>
    <w:rsid w:val="007B7FAC"/>
    <w:rsid w:val="007E548C"/>
    <w:rsid w:val="007F7F59"/>
    <w:rsid w:val="0082457E"/>
    <w:rsid w:val="00852757"/>
    <w:rsid w:val="008F1304"/>
    <w:rsid w:val="009E6CC7"/>
    <w:rsid w:val="00A56CAB"/>
    <w:rsid w:val="00AA3D9B"/>
    <w:rsid w:val="00AC69CE"/>
    <w:rsid w:val="00B620A8"/>
    <w:rsid w:val="00B839AD"/>
    <w:rsid w:val="00BF76FC"/>
    <w:rsid w:val="00C86A44"/>
    <w:rsid w:val="00D00E5A"/>
    <w:rsid w:val="00D83E91"/>
    <w:rsid w:val="00DA1FFD"/>
    <w:rsid w:val="00DD4454"/>
    <w:rsid w:val="00E02656"/>
    <w:rsid w:val="00EE1B1C"/>
    <w:rsid w:val="00FC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7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6C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7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9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102E1E6280CD32725D78F07048C378A93C980A6FC8C8D9A0470CCBEC0CC695D4CA7A905FEA9EA41H6iC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985</Words>
  <Characters>5615</Characters>
  <Application>Microsoft Office Word</Application>
  <DocSecurity>0</DocSecurity>
  <Lines>46</Lines>
  <Paragraphs>13</Paragraphs>
  <ScaleCrop>false</ScaleCrop>
  <Company/>
  <LinksUpToDate>false</LinksUpToDate>
  <CharactersWithSpaces>6587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51</cp:revision>
  <dcterms:created xsi:type="dcterms:W3CDTF">2014-10-27T09:15:00Z</dcterms:created>
  <dcterms:modified xsi:type="dcterms:W3CDTF">2014-10-30T12:34:00Z</dcterms:modified>
</cp:coreProperties>
</file>