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5F4EB6" w:rsidRPr="00733F0C" w:rsidP="005F4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EB6" w:rsidRPr="00733F0C" w:rsidP="00C25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EB6" w:rsidRPr="00733F0C" w:rsidP="00C81181">
      <w:pPr>
        <w:spacing w:after="0" w:line="240" w:lineRule="auto"/>
        <w:ind w:firstLine="6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5F4EB6" w:rsidRPr="00733F0C" w:rsidP="00C25783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90575" cy="914400"/>
            <wp:effectExtent l="0" t="0" r="9525" b="0"/>
            <wp:docPr id="2" name="Рисунок 2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lum bright="48000"/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0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81181" w:rsidRPr="00733F0C" w:rsidP="00C8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81" w:rsidRPr="00733F0C" w:rsidP="00C8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F0C">
        <w:rPr>
          <w:rFonts w:ascii="Times New Roman" w:hAnsi="Times New Roman" w:cs="Times New Roman"/>
          <w:sz w:val="24"/>
          <w:szCs w:val="24"/>
        </w:rPr>
        <w:t>«____» ________ 2025 года</w:t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</w:r>
      <w:r w:rsidRPr="00733F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№ _____</w:t>
      </w:r>
    </w:p>
    <w:p w:rsidR="00C81181" w:rsidRPr="00733F0C" w:rsidP="00C8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2AAA" w:rsidRPr="00733F0C" w:rsidP="00C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181" w:rsidRPr="00733F0C" w:rsidP="00C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Большеижорского городского поселения Ломоносовского муниципального района Ленинградской области на 2026 год и плановый период 2027-2028 годов</w:t>
      </w:r>
    </w:p>
    <w:p w:rsidR="00F114B2" w:rsidRPr="00733F0C" w:rsidP="00F114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14B2" w:rsidRPr="00733F0C" w:rsidP="00F1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Основные характеристики бюджета Большеижорского городского поселения Ломоносовского муниципального образования Ленинградской области на 2026 год и плановый период на 2027-2028 года.</w:t>
      </w:r>
    </w:p>
    <w:p w:rsidR="00C331C1" w:rsidRPr="00733F0C" w:rsidP="00F114B2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Большеижорского городского поселения на 2026 год:</w:t>
      </w:r>
    </w:p>
    <w:p w:rsidR="00C331C1" w:rsidRPr="00733F0C" w:rsidP="00F114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доходов в сумме           47 676,9 тыс. рублей;</w:t>
      </w: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расходов в сумме         49 076,9 тыс. рублей;</w:t>
      </w: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дефицит бюджета в сумме       1 400,0 тыс. рублей.</w:t>
      </w:r>
    </w:p>
    <w:p w:rsidR="00C331C1" w:rsidRPr="00733F0C" w:rsidP="00F114B2">
      <w:pPr>
        <w:numPr>
          <w:ilvl w:val="0"/>
          <w:numId w:val="6"/>
        </w:numPr>
        <w:tabs>
          <w:tab w:val="left" w:pos="709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Большеижорского городского поселения на плановый период - 2027 год:</w:t>
      </w:r>
    </w:p>
    <w:p w:rsidR="00C331C1" w:rsidRPr="00733F0C" w:rsidP="00F114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доходов в сумме           46 335,9 тыс. рублей;</w:t>
      </w: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прогнозируемый объем расходов в сумме          51 040,0 тыс. рублей;</w:t>
      </w: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прогнозируемый дефицит бюджета в сумме        4 704,1 тыс. рублей.</w:t>
      </w:r>
    </w:p>
    <w:p w:rsidR="00C331C1" w:rsidRPr="00733F0C" w:rsidP="00F114B2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Большеижорского городского поселения на плановый период - 2028 год:</w:t>
      </w:r>
    </w:p>
    <w:p w:rsidR="00C331C1" w:rsidRPr="00733F0C" w:rsidP="00F114B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</w:t>
      </w:r>
      <w:r w:rsidRPr="00733F0C" w:rsidR="00F11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гнозируемый объем доходов в сумме            47 254,0 тыс. рублей;</w:t>
      </w: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прогнозируемый объем расходов в сумме          53 081,6 тыс. рублей;</w:t>
      </w: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прогнозируемый дефицит бюджета в сумме        5 827,6 тыс. рублей.</w:t>
      </w:r>
    </w:p>
    <w:p w:rsidR="00C331C1" w:rsidRPr="00733F0C" w:rsidP="00F114B2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источники финансирования дефицита бюджета муниципального образования на 2026 год и плановый период на 2027-2028 годов согласно приложению 1.</w:t>
      </w:r>
    </w:p>
    <w:p w:rsidR="00C331C1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0B4DEA">
          <w:type w:val="nextPage"/>
          <w:pgSz w:w="11906" w:h="16838"/>
          <w:pgMar w:top="992" w:right="851" w:bottom="1134" w:left="1701" w:header="709" w:footer="709" w:gutter="0"/>
          <w:pgNumType w:start="3"/>
          <w:cols w:space="708"/>
          <w:titlePg w:val="0"/>
          <w:docGrid w:linePitch="360"/>
        </w:sectPr>
      </w:pPr>
    </w:p>
    <w:p w:rsidR="00C331C1" w:rsidRPr="00733F0C" w:rsidP="00C331C1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F5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71BF5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P="00F1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2. Доходы бюджета Большеижорского городского поселения Ломоносовского муниципального района Ленинградской области на 2026 год и плановый период 2027-2028 годов </w:t>
      </w:r>
    </w:p>
    <w:p w:rsidR="00C331C1" w:rsidRPr="00733F0C" w:rsidP="00F114B2">
      <w:pPr>
        <w:numPr>
          <w:ilvl w:val="0"/>
          <w:numId w:val="7"/>
        </w:numPr>
        <w:tabs>
          <w:tab w:val="num" w:pos="0"/>
          <w:tab w:val="clear" w:pos="78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пределах общего объема доходов бюджета Большеижорского городского поселения, установленного статьей 1 настоящего решения прогнозируемые поступления доходов на 2026 год и плановый период 2027– 2028 годов, согласно приложению 2:</w:t>
      </w:r>
    </w:p>
    <w:p w:rsidR="00C331C1" w:rsidRPr="00733F0C" w:rsidP="00F114B2">
      <w:pPr>
        <w:spacing w:before="120"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на 2026 год в сумме 47 676,9 тыс. рублей;</w:t>
      </w:r>
    </w:p>
    <w:p w:rsidR="00C331C1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2027 год в сумме 46 335,9 тыс. рублей;</w:t>
      </w:r>
    </w:p>
    <w:p w:rsidR="00C331C1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2028 год в сумме 47 254,0 тыс. рублей.</w:t>
      </w:r>
    </w:p>
    <w:p w:rsidR="00C331C1" w:rsidRPr="00733F0C" w:rsidP="00F114B2">
      <w:pPr>
        <w:numPr>
          <w:ilvl w:val="0"/>
          <w:numId w:val="7"/>
        </w:numPr>
        <w:tabs>
          <w:tab w:val="num" w:pos="0"/>
          <w:tab w:val="clear" w:pos="78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пределах общего  объема доходов  бюджета  поселения, установленного статьей 1 настоящего решения объем безвозмездных поступлений, получаемых  из других бюджетов на 2026 год в общей  сумме 15 275,6 тыс. рублей и плановый период: на 2027 год в общей сумме 14 380,9 тыс. рублей и на 2028 год в общей сумме 13 690,0 тыс. рублей согласно приложению 3.</w:t>
      </w:r>
    </w:p>
    <w:p w:rsidR="00C331C1" w:rsidRPr="00733F0C" w:rsidP="00C331C1">
      <w:p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33F0C" w:rsidR="00F11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 Нормативы распределения доходов в бюджет Большеижорского городского поселения</w:t>
      </w: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P="00F114B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 соответствии с пунктом 2 статьи 184.1 Бюджетного кодекса Российской Федерации нормативы распределения отдельных доходов в бюджет Большеижорского городского поселения на 2026 год согласно приложению 4.</w:t>
      </w:r>
    </w:p>
    <w:p w:rsidR="00C331C1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33F0C" w:rsidR="00F11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 Бюджетные ассигнования бюджета Большеижорского городского поселения на 2026 год и плановый период: на 2027и 2028 годы.</w:t>
      </w:r>
    </w:p>
    <w:p w:rsidR="00C331C1" w:rsidRPr="00733F0C" w:rsidP="00F114B2">
      <w:pPr>
        <w:numPr>
          <w:ilvl w:val="0"/>
          <w:numId w:val="9"/>
        </w:numPr>
        <w:tabs>
          <w:tab w:val="left" w:pos="0"/>
          <w:tab w:val="clear" w:pos="780"/>
          <w:tab w:val="left" w:pos="993"/>
        </w:tabs>
        <w:spacing w:before="120"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бюджета на 2026 и плановый период 2027 -2028 годов согласно приложению 5.</w:t>
      </w:r>
    </w:p>
    <w:p w:rsidR="00C331C1" w:rsidRPr="00733F0C" w:rsidP="00F114B2">
      <w:pPr>
        <w:pStyle w:val="ListParagraph"/>
        <w:numPr>
          <w:ilvl w:val="0"/>
          <w:numId w:val="9"/>
        </w:numPr>
        <w:tabs>
          <w:tab w:val="clear" w:pos="780"/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ведомственную структуру расходов бюджета поселения на 2026 и плановый период 2027 - 2028 годы согласно приложению 6.</w:t>
      </w:r>
    </w:p>
    <w:p w:rsidR="00C331C1" w:rsidRPr="00733F0C" w:rsidP="00F114B2">
      <w:pPr>
        <w:spacing w:before="120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распределение бюджетных ассигнований по разделам и подразделам, функциональная классификация расходов бюджета на 2026 и плановый период на 2027 -2028 годы согласно приложению 7.</w:t>
      </w:r>
    </w:p>
    <w:p w:rsidR="00C331C1" w:rsidRPr="00733F0C" w:rsidP="00F114B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общий объем бюджетных ассигнований на исполнение публичных нормативных обязательств:</w:t>
      </w:r>
    </w:p>
    <w:p w:rsidR="00C331C1" w:rsidRPr="00733F0C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2026 год в сумме 1 873,0 тыс. рублей;</w:t>
      </w:r>
    </w:p>
    <w:p w:rsidR="00C331C1" w:rsidRPr="00733F0C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2027 год в сумме 1 921,2 тыс. рублей;</w:t>
      </w:r>
    </w:p>
    <w:p w:rsidR="00F114B2" w:rsidRPr="00733F0C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на 2028 год в сумме 1 998,0 тыс. рублей.</w:t>
      </w:r>
    </w:p>
    <w:p w:rsidR="00C331C1" w:rsidRPr="00733F0C" w:rsidP="00F114B2">
      <w:pPr>
        <w:tabs>
          <w:tab w:val="num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объем бюджетных ассигнований дорожного фонда муниципального образования Большеижорское городское поселение:</w:t>
      </w:r>
    </w:p>
    <w:p w:rsidR="00C331C1" w:rsidRPr="00733F0C" w:rsidP="00F114B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год в сумме 575,0 тыс. рублей;</w:t>
      </w:r>
    </w:p>
    <w:p w:rsidR="00C331C1" w:rsidRPr="00733F0C" w:rsidP="00F114B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2027 год в сумме 985,0,0 тыс. рублей;</w:t>
      </w:r>
    </w:p>
    <w:p w:rsidR="00F114B2" w:rsidRPr="00733F0C" w:rsidP="00F114B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Sect="000B4DEA">
          <w:type w:val="nextPage"/>
          <w:pgSz w:w="11906" w:h="16838"/>
          <w:pgMar w:top="992" w:right="851" w:bottom="1134" w:left="1701" w:header="709" w:footer="709" w:gutter="0"/>
          <w:pgNumType w:start="4"/>
          <w:cols w:space="708"/>
          <w:titlePg w:val="0"/>
          <w:docGrid w:linePitch="360"/>
        </w:sect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2028 год в сумме 1 200,0 тыс. рублей;</w:t>
      </w:r>
    </w:p>
    <w:p w:rsidR="00C331C1" w:rsidRPr="00733F0C" w:rsidP="00F114B2">
      <w:pPr>
        <w:tabs>
          <w:tab w:val="num" w:pos="42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резервный фонд администрации муниципального образования Большеижорское городское поселение: </w:t>
      </w:r>
    </w:p>
    <w:p w:rsidR="00C331C1" w:rsidRPr="00733F0C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2026 год в сумме 50,0 тыс. рублей;  </w:t>
      </w:r>
    </w:p>
    <w:p w:rsidR="00C331C1" w:rsidRPr="00733F0C" w:rsidP="00F114B2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F0C" w:rsidR="001B0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 w:rsidR="001B02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2027 год в сумме 50,0 тыс. рублей;</w:t>
      </w:r>
    </w:p>
    <w:p w:rsidR="00C331C1" w:rsidRPr="00733F0C" w:rsidP="00C331C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2028 год в сумме 50,0 тыс. рублей.</w:t>
      </w:r>
    </w:p>
    <w:p w:rsidR="00C331C1" w:rsidRPr="00733F0C" w:rsidP="00F114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соответствии с правовыми актами администрации муниципального образования Большеижорское городское поселение предоставляются бюджетные ассигнования, предусмотренные в ведомственной структуре расходов бюджета Большеижорского городского поселения в соответствии с п. 6 настоящей статьи на резервный фонд администрации муниципального образования Большеижорское городское поселение.</w:t>
      </w:r>
    </w:p>
    <w:p w:rsidR="00C331C1" w:rsidRPr="00733F0C" w:rsidP="00C331C1">
      <w:pPr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31C1" w:rsidRPr="00733F0C" w:rsidP="001B02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Статья 5. Особенности установления отдельных расходных обязательств и использования бюджетных ассигнований по обеспечению деятельности муниципальных органов Большеижорского городского поселения Ломоносовского муниципального района Ленинградской области </w:t>
      </w:r>
    </w:p>
    <w:p w:rsidR="00C331C1" w:rsidRPr="00733F0C" w:rsidP="001B022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для расчета должностных окладов работников бюджетной сферы за календарный месяц или за выполнение установленной нормы труда, с 1 января 2026 года применяется расчетная величина в размере 14 870,00 рублей на основании проекта областного закона «Об областном бюджете Ленинградской области на 2026 год и на плановый период 2027 и 2028 годов».</w:t>
      </w:r>
    </w:p>
    <w:p w:rsidR="00C331C1" w:rsidRPr="00733F0C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размер индексации должностных окладов и надбавок к должностным окладам в соответствии с присвоенным классным чином лицам, замещающим должности муниципальной службы Большеижорского городского поселения в 1,054 раза с 1 января 2026 года.</w:t>
      </w:r>
    </w:p>
    <w:p w:rsidR="00C331C1" w:rsidRPr="00733F0C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расходы на обеспечение деятельности Главы Большеижорского городского поселения на 2026 год в сумме 2 589,5 тыс. рублей и плановый период: на 2026 год в сумме 2 693,1 тыс. рублей, на 2027 год в сумме 2 800,0 тыс. рублей.</w:t>
      </w:r>
    </w:p>
    <w:p w:rsidR="00C331C1" w:rsidRPr="00733F0C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расходы на обеспечение деятельности Совета депутатов Большеижорского городского поселения на 2026 год в сумме 954,5 тыс. рублей и плановый период: на 2027год в сумме 992,7 тыс. рублей, на 2028 год в сумме 1 032,4 тыс. рублей.</w:t>
      </w:r>
    </w:p>
    <w:p w:rsidR="00C331C1" w:rsidRPr="00733F0C" w:rsidP="001B022E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расходы на обеспечение деятельности администрации муниципального образования Большеижорское городское поселение на 2026 год в сумме – 22 593,6 тыс. рублей, на плановый период: 2027 год в сумме 23 497,3 тыс. рублей, 2028 год в сумме 24 437,2 тыс. рублей.</w:t>
      </w:r>
    </w:p>
    <w:p w:rsidR="00C331C1" w:rsidRPr="00733F0C" w:rsidP="001B022E">
      <w:pPr>
        <w:numPr>
          <w:ilvl w:val="0"/>
          <w:numId w:val="10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к приоритетным расходам местного бюджета Большеижорского городского поселения относятся:</w:t>
      </w:r>
    </w:p>
    <w:p w:rsidR="00C331C1" w:rsidRPr="00733F0C" w:rsidP="001B022E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расходы, осуществляемые во исполнение публичных нормативных обязательств;</w:t>
      </w:r>
    </w:p>
    <w:p w:rsidR="00C331C1" w:rsidRPr="00733F0C" w:rsidP="001B022E">
      <w:pPr>
        <w:tabs>
          <w:tab w:val="left" w:pos="109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оплату и начисления на заработную плату, коммунальные услуги.</w:t>
      </w:r>
    </w:p>
    <w:p w:rsidR="00C331C1" w:rsidRPr="00733F0C" w:rsidP="001B02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1B02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Статья 6. Основания внесения изменений в сводную бюджетную роспись бюджета Большеижорского городского поселения</w:t>
      </w:r>
    </w:p>
    <w:p w:rsidR="00C331C1" w:rsidRPr="00733F0C" w:rsidP="00C331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P="001B02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0B4DEA">
          <w:type w:val="nextPage"/>
          <w:pgSz w:w="11906" w:h="16838"/>
          <w:pgMar w:top="992" w:right="851" w:bottom="1134" w:left="1701" w:header="709" w:footer="709" w:gutter="0"/>
          <w:pgNumType w:start="5"/>
          <w:cols w:space="708"/>
          <w:titlePg w:val="0"/>
          <w:docGrid w:linePitch="360"/>
        </w:sect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соответствии с пунктом 8 статьи 217 Бюджетного кодекса Российской Федерации и в ходе исполнения настоящего решения изменения в сводную бюджетную роспись бюджета Большеижорского городского поселения вносятся по следующим основаниям, связанным с особенностями исполнения данного бюджета, без внесения изменений в настоящее решение:</w:t>
      </w:r>
    </w:p>
    <w:p w:rsidR="00C331C1" w:rsidRPr="00733F0C" w:rsidP="001B022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</w:t>
      </w:r>
      <w:hyperlink r:id="rId5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статьи 26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 и при осуществлении органами местного самоуправления бюджетных полномочий, предусмотренных </w:t>
      </w:r>
      <w:hyperlink r:id="rId7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5 статьи 154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7"/>
      <w:bookmarkEnd w:id="0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ассигнований, предоставляемых на конкурсной основе;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"/>
      <w:bookmarkEnd w:id="1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получения уведомления о предоставлении субсидий, субвенций, иных межбюджетных трансфертов, имеющих целевое назначение, предоставления из федерального бюджета, субъекта Российской Федерации бюджету Большеижорского городского поселения на финансовое обеспечение реализации инфраструктурных проектов, поступления в бюджет Большеижорского городского поселения из бюджетов бюджетной системы Российской Федерации дотаций (заключения соглашения о предоставлении из бюджетов системы Российской Федерации бюджету Большеижорского городского поселения дотации) в течение текущего финансового года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0B4DEA">
          <w:type w:val="nextPage"/>
          <w:pgSz w:w="11906" w:h="16838"/>
          <w:pgMar w:top="992" w:right="851" w:bottom="1134" w:left="1701" w:header="709" w:footer="709" w:gutter="0"/>
          <w:pgNumType w:start="6"/>
          <w:cols w:space="708"/>
          <w:titlePg w:val="0"/>
          <w:docGrid w:linePitch="360"/>
        </w:sectPr>
      </w:pPr>
      <w:bookmarkStart w:id="2" w:name="Par24"/>
      <w:bookmarkEnd w:id="2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</w:t>
      </w:r>
      <w:hyperlink r:id="rId8" w:history="1">
        <w:r w:rsidRPr="00733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242.22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31C1" w:rsidRPr="00733F0C" w:rsidP="001B022E">
      <w:pPr>
        <w:widowControl w:val="0"/>
        <w:snapToGrid w:val="0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6"/>
      <w:bookmarkEnd w:id="3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Бюджетным Кодексом Российской Федерации;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C331C1" w:rsidRPr="00733F0C" w:rsidP="001B022E">
      <w:pPr>
        <w:widowControl w:val="0"/>
        <w:snapToGri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8"/>
      <w:bookmarkEnd w:id="4"/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Большеижорскому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городскому поселению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для получения субсидий, предоставляемых бюджету Большеижорского городского поселения из других бюджетов, областного бюджета Ленинградской области, в пределах объема бюджетных ассигнований, предусмотренных главному распорядителю бюджетных средств бюджета по соответствующей муниципальной программе, предусмотренных настоящим решением;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муниципальных программ Большеижорского городского поселения, после внесения изменений и дополнений в программы Большеижорского городского поселения;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Calibri" w:hAnsi="Times New Roman" w:cs="Times New Roman"/>
          <w:sz w:val="24"/>
          <w:szCs w:val="24"/>
          <w:lang w:eastAsia="ru-RU"/>
        </w:rPr>
        <w:t>-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средств, в счет оплаты судебных издержек, увеличения подлежащих уплате казенным учреждением сумм налогов, сборов, пеней, штрафов;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</w:t>
      </w:r>
      <w:r w:rsidRPr="00733F0C">
        <w:rPr>
          <w:rFonts w:ascii="Times New Roman" w:eastAsia="Calibri" w:hAnsi="Times New Roman" w:cs="Times New Roman"/>
          <w:sz w:val="24"/>
          <w:szCs w:val="24"/>
        </w:rPr>
        <w:t xml:space="preserve">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</w:t>
      </w:r>
      <w:r w:rsidRPr="00733F0C">
        <w:rPr>
          <w:rFonts w:ascii="Times New Roman" w:eastAsia="Calibri" w:hAnsi="Times New Roman" w:cs="Times New Roman"/>
          <w:sz w:val="24"/>
          <w:szCs w:val="24"/>
        </w:rPr>
        <w:t>го городского поселения;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0B4DEA">
          <w:type w:val="nextPage"/>
          <w:pgSz w:w="11906" w:h="16838"/>
          <w:pgMar w:top="992" w:right="851" w:bottom="1134" w:left="1701" w:header="709" w:footer="709" w:gutter="0"/>
          <w:pgNumType w:start="7"/>
          <w:cols w:space="708"/>
          <w:titlePg w:val="0"/>
          <w:docGrid w:linePitch="360"/>
        </w:sect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случаях, когда нормативными правовыми актами Большеижорского городского поселения определяется порядок предоставления субсидий некоммерческим организациям </w:t>
      </w:r>
    </w:p>
    <w:p w:rsidR="00C331C1" w:rsidRPr="00733F0C" w:rsidP="001B022E">
      <w:pPr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являющимся государственными учреждениями) в целях обеспечения мероприятий на финансовое обеспечение затрат в целях реализации муниципальной программы Большеижорского городского поселения Ломоносовского муниципального района Ленинградской области «Формирование комфортной городской среды и обеспечение качественным жильем граждан на территории Большеижорского городского поселения»;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распределения средств целевых межбюджетных трансфертов (и их остатков) из федерального или областного бюджетов, (сверх утвержденных законом о бюджете доходов) на осуществление отдельных расходов на основании федеральных законов и (или) правовых актов Президента Российской Федерации, Правительства Российской Федерации и законов Ленинградской области, а так же заключенных Соглашений;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случаях перераспределения </w:t>
      </w:r>
      <w:r w:rsidRPr="00733F0C">
        <w:rPr>
          <w:rFonts w:ascii="Times New Roman" w:eastAsia="Calibri" w:hAnsi="Times New Roman" w:cs="Times New Roman"/>
          <w:sz w:val="24"/>
          <w:szCs w:val="24"/>
        </w:rPr>
        <w:t xml:space="preserve">бюджетных ассигнований между разделами, подразделами, целевыми статьями и видами расходов классификации расходов бюджетов в случаях создания (реорганизации) муниципального учреждения в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образования, переименования, реорганизации, ликвидации, слияния казенных учреждений Большеижорского городского поселения, перераспределения их полномочий в пределах общего объема средств, предусмотренных настоящим законом на обеспечение их деятельности;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в части отражения расходов по кодам разделов, подразделов, целевых статей, видов расходов классификации расходов бюджетов, а также приведения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настоящим решением, на сумму денежных взысканий (штрафов) за нарушение условий договоров (соглашений) о предоставлении субсидий бюджету Большеижорского городского поселения из областного бюджета Ленинградской области, подлежащую возврату в областной бюджет;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33F0C">
        <w:rPr>
          <w:rFonts w:ascii="Times New Roman" w:eastAsia="Times New Roman" w:hAnsi="Times New Roman" w:cs="Times New Roman"/>
          <w:sz w:val="24"/>
          <w:szCs w:val="24"/>
        </w:rPr>
        <w:t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настоящим решением в текущем финансовом году;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налогов и иных обязательных платежей в бюджеты бюджетной системы Российской Федерации органами муниципального самоуправления и казенными учреждениями, в пределах общего объема бюджетных ассигнований, предусмотренных главному распорядителю средств бюджета в текущем финансовом году;</w:t>
      </w:r>
    </w:p>
    <w:p w:rsidR="00C331C1" w:rsidRPr="00733F0C" w:rsidP="001B022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Sect="000B4DEA">
          <w:type w:val="nextPage"/>
          <w:pgSz w:w="11906" w:h="16838"/>
          <w:pgMar w:top="992" w:right="851" w:bottom="1134" w:left="1701" w:header="709" w:footer="709" w:gutter="0"/>
          <w:pgNumType w:start="8"/>
          <w:cols w:space="708"/>
          <w:titlePg w:val="0"/>
          <w:docGrid w:linePitch="360"/>
        </w:sect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случаях образования, переименования, реорганизации, ликвидации муниципальных органов власти Большеижорского городского поселения,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C331C1" w:rsidRPr="00733F0C" w:rsidP="001B022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перераспределения бюджетных ассигнований между текущим финансовым годом и плановым периодом - в пределах предусмотренного законом (решением) о бюджете общего объема бюджетных ассигнований главному распорядителю бюджетных средств на оказание государственных (муниципальных) услуг на соответствующий финансовый год; </w:t>
      </w:r>
    </w:p>
    <w:p w:rsidR="00C331C1" w:rsidRPr="00733F0C" w:rsidP="001B02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 Межбюджетные трансферты</w:t>
      </w: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объем межбюджетных трансфертов бюджету Ломоносовского муниципального района Ленинградской области из бюджета Большеижорского городского поселения на осуществление части полномочий по решению вопросов местного значения в соответствии с заключенными соглашениями, согласно приложению 8 </w:t>
      </w:r>
    </w:p>
    <w:p w:rsidR="00C331C1" w:rsidRPr="00733F0C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расходы за счет субвенций из областного бюджета:</w:t>
      </w:r>
    </w:p>
    <w:p w:rsidR="00C331C1" w:rsidRPr="00733F0C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осуществление отдельных государственных полномочий Ленинградской области в сфере административных правоотношений на 2026 год и на плановый период 2027 и 2028 годов</w:t>
      </w:r>
      <w:r w:rsidRPr="00733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порядке, установленном областным законом от 13 октября 2006 года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33F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116-оз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 в сумме 3,5 тысяч рублей (ежегодно);</w:t>
      </w:r>
    </w:p>
    <w:p w:rsidR="00C331C1" w:rsidRPr="00733F0C" w:rsidP="00C33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осуществление отдельных государственных полномочий по первичному воинскому учету на территориях, где отсутствуют военные комиссариаты:</w:t>
      </w: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в сумме 443,5 тысяч рублей,</w:t>
      </w: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 год в сумме 458,8 тысяч рублей,</w:t>
      </w: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 в сумме 0 тысяч рублей,</w:t>
      </w: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1C1" w:rsidRPr="00733F0C" w:rsidP="00C331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8. Официальное опубликование</w:t>
      </w:r>
    </w:p>
    <w:p w:rsidR="00C331C1" w:rsidRPr="00733F0C" w:rsidP="00C3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114B2" w:rsidRPr="00733F0C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33F0C" w:rsidR="00C33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01 января 2026 года.</w:t>
      </w:r>
    </w:p>
    <w:p w:rsidR="00C331C1" w:rsidRPr="00733F0C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официальному опубликованию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(обнародованию)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«Балтийский луч» и размещению на сайте муниципального образования</w:t>
      </w:r>
      <w:r w:rsidRPr="00C23D4A" w:rsidR="00C2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3F0C" w:rsidR="00C23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 поселение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 по адресу:</w:t>
      </w:r>
      <w:r w:rsidRPr="00733F0C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hyperlink r:id="rId9" w:history="1">
        <w:r w:rsidRPr="00733F0C" w:rsidR="00FE13A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Pr="00733F0C" w:rsidR="00FE13A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bolizhora</w:t>
        </w:r>
        <w:r w:rsidRPr="00733F0C" w:rsidR="00FE13A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733F0C" w:rsidR="00FE13A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733F0C" w:rsidR="00FE13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105" w:rsidRPr="00733F0C" w:rsidP="00FE13A2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Arial" w:eastAsia="Times New Roman" w:hAnsi="Arial" w:cs="Arial"/>
          <w:sz w:val="20"/>
          <w:szCs w:val="20"/>
          <w:lang w:eastAsia="ru-RU"/>
        </w:rPr>
        <w:t xml:space="preserve">2.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к настоящему решению разместить на сайте муниципального образования Большеижорское городское поселение в сети «Интернет» по адресу: </w:t>
      </w:r>
      <w:hyperlink r:id="rId9" w:history="1">
        <w:r w:rsidRPr="00733F0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</w:t>
        </w:r>
        <w:r w:rsidRPr="00733F0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bolizhora</w:t>
        </w:r>
        <w:r w:rsidRPr="00733F0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733F0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4B2" w:rsidRPr="00733F0C" w:rsidP="00FE13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опубликованию возложить на местную администрацию муниципального образования Большеижорского городского поселения.</w:t>
      </w:r>
      <w:bookmarkStart w:id="5" w:name="_Hlk121680757"/>
    </w:p>
    <w:p w:rsidR="00F114B2" w:rsidRPr="00733F0C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B2" w:rsidRPr="00733F0C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4B2" w:rsidRPr="00733F0C" w:rsidP="00F11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:rsidR="00C331C1" w:rsidRPr="00733F0C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3A2" w:rsidRPr="00733F0C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C331C1" w:rsidRPr="00733F0C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33F0C" w:rsidR="00A84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733F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733F0C" w:rsidR="00A84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 Саркисян</w:t>
      </w:r>
    </w:p>
    <w:p w:rsidR="00C331C1" w:rsidRPr="00733F0C" w:rsidP="00C33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627" w:rsidRPr="00733F0C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0B4DEA">
      <w:type w:val="nextPage"/>
      <w:pgSz w:w="11906" w:h="16838"/>
      <w:pgMar w:top="992" w:right="851" w:bottom="1134" w:left="1701" w:header="709" w:footer="709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B909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120691"/>
    <w:multiLevelType w:val="hybridMultilevel"/>
    <w:tmpl w:val="D42AF2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FE75D2"/>
    <w:multiLevelType w:val="hybridMultilevel"/>
    <w:tmpl w:val="ABA8DAF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4594219"/>
    <w:multiLevelType w:val="hybridMultilevel"/>
    <w:tmpl w:val="8E3ACB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4A82"/>
    <w:multiLevelType w:val="multilevel"/>
    <w:tmpl w:val="4EE65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C5455"/>
    <w:multiLevelType w:val="hybridMultilevel"/>
    <w:tmpl w:val="9E14DF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957437"/>
    <w:multiLevelType w:val="hybridMultilevel"/>
    <w:tmpl w:val="CA96837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346356"/>
    <w:multiLevelType w:val="hybridMultilevel"/>
    <w:tmpl w:val="0366C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63CA4"/>
    <w:multiLevelType w:val="hybridMultilevel"/>
    <w:tmpl w:val="CF3CE4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DE528B"/>
    <w:multiLevelType w:val="hybridMultilevel"/>
    <w:tmpl w:val="948426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1D08D2"/>
    <w:multiLevelType w:val="hybridMultilevel"/>
    <w:tmpl w:val="4B3C9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DC206A"/>
    <w:multiLevelType w:val="hybridMultilevel"/>
    <w:tmpl w:val="0366C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16825"/>
    <w:multiLevelType w:val="multilevel"/>
    <w:tmpl w:val="496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E6839"/>
    <w:multiLevelType w:val="hybridMultilevel"/>
    <w:tmpl w:val="9966723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34CD1"/>
    <w:multiLevelType w:val="hybridMultilevel"/>
    <w:tmpl w:val="B7CC817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015041"/>
    <w:rsid w:val="00071BF5"/>
    <w:rsid w:val="000B4DEA"/>
    <w:rsid w:val="001A3E75"/>
    <w:rsid w:val="001B022E"/>
    <w:rsid w:val="001F2FD6"/>
    <w:rsid w:val="00234B78"/>
    <w:rsid w:val="00243940"/>
    <w:rsid w:val="00254423"/>
    <w:rsid w:val="00306B91"/>
    <w:rsid w:val="00361105"/>
    <w:rsid w:val="0038674D"/>
    <w:rsid w:val="003A4CD8"/>
    <w:rsid w:val="003D13D7"/>
    <w:rsid w:val="004057D7"/>
    <w:rsid w:val="004661F2"/>
    <w:rsid w:val="005100FD"/>
    <w:rsid w:val="005E2AAA"/>
    <w:rsid w:val="005F4EB6"/>
    <w:rsid w:val="005F77A7"/>
    <w:rsid w:val="00671711"/>
    <w:rsid w:val="006B5624"/>
    <w:rsid w:val="006E1691"/>
    <w:rsid w:val="006F752D"/>
    <w:rsid w:val="007221EB"/>
    <w:rsid w:val="00733F0C"/>
    <w:rsid w:val="007F2627"/>
    <w:rsid w:val="008004CD"/>
    <w:rsid w:val="00801648"/>
    <w:rsid w:val="00851FF2"/>
    <w:rsid w:val="008A078E"/>
    <w:rsid w:val="008F7A4B"/>
    <w:rsid w:val="009025DB"/>
    <w:rsid w:val="009118F6"/>
    <w:rsid w:val="009727C2"/>
    <w:rsid w:val="009C5890"/>
    <w:rsid w:val="009E26C7"/>
    <w:rsid w:val="009E7C65"/>
    <w:rsid w:val="00A842E3"/>
    <w:rsid w:val="00AE3AC2"/>
    <w:rsid w:val="00B802E2"/>
    <w:rsid w:val="00C23D4A"/>
    <w:rsid w:val="00C25783"/>
    <w:rsid w:val="00C331C1"/>
    <w:rsid w:val="00C81181"/>
    <w:rsid w:val="00CC559D"/>
    <w:rsid w:val="00DB409B"/>
    <w:rsid w:val="00DD4190"/>
    <w:rsid w:val="00DF1818"/>
    <w:rsid w:val="00E07E0E"/>
    <w:rsid w:val="00E7623D"/>
    <w:rsid w:val="00E84513"/>
    <w:rsid w:val="00EF2B78"/>
    <w:rsid w:val="00EF422B"/>
    <w:rsid w:val="00F114B2"/>
    <w:rsid w:val="00F17FC2"/>
    <w:rsid w:val="00F24CF1"/>
    <w:rsid w:val="00FB4745"/>
    <w:rsid w:val="00FD789D"/>
    <w:rsid w:val="00FE1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F77A7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1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login.consultant.ru/link/?req=doc&amp;base=LAW&amp;n=483131&amp;date=01.11.2024&amp;dst=282&amp;field=134" TargetMode="External" /><Relationship Id="rId6" Type="http://schemas.openxmlformats.org/officeDocument/2006/relationships/hyperlink" Target="https://login.consultant.ru/link/?req=doc&amp;base=LAW&amp;n=483131&amp;date=01.11.2024&amp;dst=283&amp;field=134" TargetMode="External" /><Relationship Id="rId7" Type="http://schemas.openxmlformats.org/officeDocument/2006/relationships/hyperlink" Target="https://login.consultant.ru/link/?req=doc&amp;base=LAW&amp;n=469774&amp;date=01.11.2024&amp;dst=103631&amp;field=134" TargetMode="External" /><Relationship Id="rId8" Type="http://schemas.openxmlformats.org/officeDocument/2006/relationships/hyperlink" Target="https://login.consultant.ru/link/?req=doc&amp;base=LAW&amp;n=469774&amp;date=01.11.2024&amp;dst=6730&amp;field=134" TargetMode="External" /><Relationship Id="rId9" Type="http://schemas.openxmlformats.org/officeDocument/2006/relationships/hyperlink" Target="http://www.bolizhora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Валерия</cp:lastModifiedBy>
  <cp:revision>8</cp:revision>
  <cp:lastPrinted>2025-11-19T04:37:00Z</cp:lastPrinted>
  <dcterms:created xsi:type="dcterms:W3CDTF">2025-11-18T16:18:00Z</dcterms:created>
  <dcterms:modified xsi:type="dcterms:W3CDTF">2025-11-19T04:39:00Z</dcterms:modified>
</cp:coreProperties>
</file>